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9C1BB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HND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C1BB8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C1BB8" w:rsidRPr="009C1BB8">
        <w:rPr>
          <w:rFonts w:ascii="Arial" w:hAnsi="Arial" w:cs="Arial"/>
          <w:sz w:val="20"/>
          <w:szCs w:val="20"/>
        </w:rPr>
        <w:t>Hai</w:t>
      </w:r>
      <w:proofErr w:type="spellEnd"/>
      <w:r w:rsidR="009C1BB8" w:rsidRPr="009C1B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1BB8" w:rsidRPr="009C1BB8">
        <w:rPr>
          <w:rFonts w:ascii="Arial" w:hAnsi="Arial" w:cs="Arial"/>
          <w:sz w:val="20"/>
          <w:szCs w:val="20"/>
        </w:rPr>
        <w:t>Phong</w:t>
      </w:r>
      <w:proofErr w:type="spellEnd"/>
      <w:r w:rsidR="009C1BB8" w:rsidRPr="009C1BB8">
        <w:rPr>
          <w:rFonts w:ascii="Arial" w:hAnsi="Arial" w:cs="Arial"/>
          <w:sz w:val="20"/>
          <w:szCs w:val="20"/>
        </w:rPr>
        <w:t xml:space="preserve"> Thermal Power Joint Stock Company</w:t>
      </w:r>
      <w:r w:rsidR="009C1BB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C1BB8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9C1BB8">
        <w:rPr>
          <w:rFonts w:ascii="Arial" w:hAnsi="Arial" w:cs="Arial"/>
          <w:sz w:val="20"/>
          <w:szCs w:val="20"/>
        </w:rPr>
        <w:t xml:space="preserve"> Approve the contents and program of the Annual General Meeting of Shareholders in 2020, as follows: 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Approve</w:t>
      </w:r>
      <w:r w:rsidRPr="009C1BB8">
        <w:rPr>
          <w:rFonts w:ascii="Arial" w:hAnsi="Arial" w:cs="Arial"/>
          <w:sz w:val="20"/>
          <w:szCs w:val="20"/>
        </w:rPr>
        <w:t xml:space="preserve"> the au</w:t>
      </w:r>
      <w:r>
        <w:rPr>
          <w:rFonts w:ascii="Arial" w:hAnsi="Arial" w:cs="Arial"/>
          <w:sz w:val="20"/>
          <w:szCs w:val="20"/>
        </w:rPr>
        <w:t>dited 2019 financial statements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C1BB8">
        <w:rPr>
          <w:rFonts w:ascii="Arial" w:hAnsi="Arial" w:cs="Arial"/>
          <w:sz w:val="20"/>
          <w:szCs w:val="20"/>
        </w:rPr>
        <w:t xml:space="preserve">Business and production results in 2019 and business and production plans in 2020: 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BB8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</w:t>
      </w:r>
      <w:r w:rsidRPr="009C1BB8">
        <w:rPr>
          <w:rFonts w:ascii="Arial" w:hAnsi="Arial" w:cs="Arial"/>
          <w:sz w:val="20"/>
          <w:szCs w:val="20"/>
        </w:rPr>
        <w:t xml:space="preserve">Business results in 2019 are as follows: 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BB8">
        <w:rPr>
          <w:rFonts w:ascii="Arial" w:hAnsi="Arial" w:cs="Arial"/>
          <w:sz w:val="20"/>
          <w:szCs w:val="20"/>
        </w:rPr>
        <w:t>- Electricity producti</w:t>
      </w:r>
      <w:r w:rsidR="005F5C96">
        <w:rPr>
          <w:rFonts w:ascii="Arial" w:hAnsi="Arial" w:cs="Arial"/>
          <w:sz w:val="20"/>
          <w:szCs w:val="20"/>
        </w:rPr>
        <w:t>on: 8</w:t>
      </w:r>
      <w:r>
        <w:rPr>
          <w:rFonts w:ascii="Arial" w:hAnsi="Arial" w:cs="Arial"/>
          <w:sz w:val="20"/>
          <w:szCs w:val="20"/>
        </w:rPr>
        <w:t>,102.40 million kWh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BB8">
        <w:rPr>
          <w:rFonts w:ascii="Arial" w:hAnsi="Arial" w:cs="Arial"/>
          <w:sz w:val="20"/>
          <w:szCs w:val="20"/>
        </w:rPr>
        <w:t xml:space="preserve">- Total </w:t>
      </w:r>
      <w:r>
        <w:rPr>
          <w:rFonts w:ascii="Arial" w:hAnsi="Arial" w:cs="Arial"/>
          <w:sz w:val="20"/>
          <w:szCs w:val="20"/>
        </w:rPr>
        <w:t>revenue: 11,342.06 billion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BB8">
        <w:rPr>
          <w:rFonts w:ascii="Arial" w:hAnsi="Arial" w:cs="Arial"/>
          <w:sz w:val="20"/>
          <w:szCs w:val="20"/>
        </w:rPr>
        <w:t>- Total c</w:t>
      </w:r>
      <w:r>
        <w:rPr>
          <w:rFonts w:ascii="Arial" w:hAnsi="Arial" w:cs="Arial"/>
          <w:sz w:val="20"/>
          <w:szCs w:val="20"/>
        </w:rPr>
        <w:t xml:space="preserve">ost: VND 10,099.85 billion 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BB8">
        <w:rPr>
          <w:rFonts w:ascii="Arial" w:hAnsi="Arial" w:cs="Arial"/>
          <w:sz w:val="20"/>
          <w:szCs w:val="20"/>
        </w:rPr>
        <w:t xml:space="preserve">- Total profit before </w:t>
      </w:r>
      <w:r>
        <w:rPr>
          <w:rFonts w:ascii="Arial" w:hAnsi="Arial" w:cs="Arial"/>
          <w:sz w:val="20"/>
          <w:szCs w:val="20"/>
        </w:rPr>
        <w:t xml:space="preserve">tax: VND 1,242.21 billion 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BB8">
        <w:rPr>
          <w:rFonts w:ascii="Arial" w:hAnsi="Arial" w:cs="Arial"/>
          <w:sz w:val="20"/>
          <w:szCs w:val="20"/>
        </w:rPr>
        <w:t>- Total profit after t</w:t>
      </w:r>
      <w:r>
        <w:rPr>
          <w:rFonts w:ascii="Arial" w:hAnsi="Arial" w:cs="Arial"/>
          <w:sz w:val="20"/>
          <w:szCs w:val="20"/>
        </w:rPr>
        <w:t>ax: VND 1,172.</w:t>
      </w:r>
      <w:r w:rsidRPr="009C1BB8">
        <w:rPr>
          <w:rFonts w:ascii="Arial" w:hAnsi="Arial" w:cs="Arial"/>
          <w:sz w:val="20"/>
          <w:szCs w:val="20"/>
        </w:rPr>
        <w:t xml:space="preserve">71 billion  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BB8">
        <w:rPr>
          <w:rFonts w:ascii="Arial" w:hAnsi="Arial" w:cs="Arial"/>
          <w:sz w:val="20"/>
          <w:szCs w:val="20"/>
        </w:rPr>
        <w:t xml:space="preserve">b. Business and production plans in 2020 are as follows: 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BB8">
        <w:rPr>
          <w:rFonts w:ascii="Arial" w:hAnsi="Arial" w:cs="Arial"/>
          <w:sz w:val="20"/>
          <w:szCs w:val="20"/>
        </w:rPr>
        <w:t>- Production electricit</w:t>
      </w:r>
      <w:r>
        <w:rPr>
          <w:rFonts w:ascii="Arial" w:hAnsi="Arial" w:cs="Arial"/>
          <w:sz w:val="20"/>
          <w:szCs w:val="20"/>
        </w:rPr>
        <w:t>y output: 8,150 million kWh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BB8">
        <w:rPr>
          <w:rFonts w:ascii="Arial" w:hAnsi="Arial" w:cs="Arial"/>
          <w:sz w:val="20"/>
          <w:szCs w:val="20"/>
        </w:rPr>
        <w:t>- Total revenu</w:t>
      </w:r>
      <w:r>
        <w:rPr>
          <w:rFonts w:ascii="Arial" w:hAnsi="Arial" w:cs="Arial"/>
          <w:sz w:val="20"/>
          <w:szCs w:val="20"/>
        </w:rPr>
        <w:t xml:space="preserve">e: VND 11,255.437 billion 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cost: VND 10,312.</w:t>
      </w:r>
      <w:r w:rsidRPr="009C1BB8">
        <w:rPr>
          <w:rFonts w:ascii="Arial" w:hAnsi="Arial" w:cs="Arial"/>
          <w:sz w:val="20"/>
          <w:szCs w:val="20"/>
        </w:rPr>
        <w:t xml:space="preserve">357 billion 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BB8">
        <w:rPr>
          <w:rFonts w:ascii="Arial" w:hAnsi="Arial" w:cs="Arial"/>
          <w:sz w:val="20"/>
          <w:szCs w:val="20"/>
        </w:rPr>
        <w:t xml:space="preserve">- Total profit before tax (excluding </w:t>
      </w:r>
      <w:r>
        <w:rPr>
          <w:rFonts w:ascii="Arial" w:hAnsi="Arial" w:cs="Arial"/>
          <w:sz w:val="20"/>
          <w:szCs w:val="20"/>
        </w:rPr>
        <w:t xml:space="preserve">CLTG): </w:t>
      </w:r>
      <w:r w:rsidRPr="009C1BB8">
        <w:rPr>
          <w:rFonts w:ascii="Arial" w:hAnsi="Arial" w:cs="Arial"/>
          <w:sz w:val="20"/>
          <w:szCs w:val="20"/>
        </w:rPr>
        <w:t>VND</w:t>
      </w:r>
      <w:r>
        <w:rPr>
          <w:rFonts w:ascii="Arial" w:hAnsi="Arial" w:cs="Arial"/>
          <w:sz w:val="20"/>
          <w:szCs w:val="20"/>
        </w:rPr>
        <w:t xml:space="preserve"> 943.</w:t>
      </w:r>
      <w:r w:rsidRPr="009C1BB8">
        <w:rPr>
          <w:rFonts w:ascii="Arial" w:hAnsi="Arial" w:cs="Arial"/>
          <w:sz w:val="20"/>
          <w:szCs w:val="20"/>
        </w:rPr>
        <w:t xml:space="preserve">079 billion 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BB8">
        <w:rPr>
          <w:rFonts w:ascii="Arial" w:hAnsi="Arial" w:cs="Arial"/>
          <w:sz w:val="20"/>
          <w:szCs w:val="20"/>
        </w:rPr>
        <w:t xml:space="preserve">(Including striving to reduce 10% of material costs, major repair costs, other outside services and other expenses in cash) 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Dividend: 10% of charter capital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9C1BB8">
        <w:rPr>
          <w:rFonts w:ascii="Arial" w:hAnsi="Arial" w:cs="Arial"/>
          <w:sz w:val="20"/>
          <w:szCs w:val="20"/>
        </w:rPr>
        <w:t xml:space="preserve">Results of implementation of basic construction investment in 2019 and Plan of capital construction investment in 2020: (Unit: VND </w:t>
      </w:r>
      <w:r>
        <w:rPr>
          <w:rFonts w:ascii="Arial" w:hAnsi="Arial" w:cs="Arial"/>
          <w:sz w:val="20"/>
          <w:szCs w:val="20"/>
        </w:rPr>
        <w:t>b</w:t>
      </w:r>
      <w:r w:rsidRPr="009C1BB8">
        <w:rPr>
          <w:rFonts w:ascii="Arial" w:hAnsi="Arial" w:cs="Arial"/>
          <w:sz w:val="20"/>
          <w:szCs w:val="20"/>
        </w:rPr>
        <w:t>illion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410"/>
        <w:gridCol w:w="1895"/>
        <w:gridCol w:w="1903"/>
        <w:gridCol w:w="1896"/>
      </w:tblGrid>
      <w:tr w:rsidR="009C1BB8" w:rsidTr="009C1BB8">
        <w:tc>
          <w:tcPr>
            <w:tcW w:w="378" w:type="dxa"/>
          </w:tcPr>
          <w:p w:rsidR="009C1BB8" w:rsidRDefault="009C1BB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52" w:type="dxa"/>
          </w:tcPr>
          <w:p w:rsidR="009C1BB8" w:rsidRDefault="009C1BB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project</w:t>
            </w:r>
          </w:p>
        </w:tc>
        <w:tc>
          <w:tcPr>
            <w:tcW w:w="1915" w:type="dxa"/>
          </w:tcPr>
          <w:p w:rsidR="009C1BB8" w:rsidRDefault="009C1BB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915" w:type="dxa"/>
          </w:tcPr>
          <w:p w:rsidR="009C1BB8" w:rsidRDefault="009C1BB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916" w:type="dxa"/>
          </w:tcPr>
          <w:p w:rsidR="009C1BB8" w:rsidRDefault="009C1BB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</w:tr>
      <w:tr w:rsidR="009C1BB8" w:rsidTr="009C1BB8">
        <w:tc>
          <w:tcPr>
            <w:tcW w:w="378" w:type="dxa"/>
          </w:tcPr>
          <w:p w:rsidR="009C1BB8" w:rsidRDefault="009C1BB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2" w:type="dxa"/>
          </w:tcPr>
          <w:p w:rsidR="009C1BB8" w:rsidRDefault="009C1BB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Thermal Power Plant Project</w:t>
            </w:r>
          </w:p>
        </w:tc>
        <w:tc>
          <w:tcPr>
            <w:tcW w:w="1915" w:type="dxa"/>
          </w:tcPr>
          <w:p w:rsidR="009C1BB8" w:rsidRDefault="009C1BB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</w:t>
            </w:r>
          </w:p>
        </w:tc>
        <w:tc>
          <w:tcPr>
            <w:tcW w:w="1915" w:type="dxa"/>
          </w:tcPr>
          <w:p w:rsidR="009C1BB8" w:rsidRDefault="009C1BB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1916" w:type="dxa"/>
          </w:tcPr>
          <w:p w:rsidR="009C1BB8" w:rsidRDefault="009C1BB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4.809</w:t>
            </w:r>
          </w:p>
        </w:tc>
      </w:tr>
      <w:tr w:rsidR="009C1BB8" w:rsidTr="009C1BB8">
        <w:tc>
          <w:tcPr>
            <w:tcW w:w="378" w:type="dxa"/>
          </w:tcPr>
          <w:p w:rsidR="009C1BB8" w:rsidRDefault="009C1BB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452" w:type="dxa"/>
          </w:tcPr>
          <w:p w:rsidR="009C1BB8" w:rsidRDefault="009C1BB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for labor safety </w:t>
            </w:r>
          </w:p>
        </w:tc>
        <w:tc>
          <w:tcPr>
            <w:tcW w:w="1915" w:type="dxa"/>
          </w:tcPr>
          <w:p w:rsidR="009C1BB8" w:rsidRDefault="00B64E6D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5.79</w:t>
            </w:r>
          </w:p>
        </w:tc>
        <w:tc>
          <w:tcPr>
            <w:tcW w:w="1915" w:type="dxa"/>
          </w:tcPr>
          <w:p w:rsidR="009C1BB8" w:rsidRDefault="009C1BB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9C1BB8" w:rsidRDefault="00B64E6D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2.732</w:t>
            </w:r>
          </w:p>
        </w:tc>
      </w:tr>
      <w:tr w:rsidR="009C1BB8" w:rsidTr="009C1BB8">
        <w:tc>
          <w:tcPr>
            <w:tcW w:w="378" w:type="dxa"/>
          </w:tcPr>
          <w:p w:rsidR="009C1BB8" w:rsidRDefault="009C1BB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</w:tcPr>
          <w:p w:rsidR="009C1BB8" w:rsidRDefault="00B64E6D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15" w:type="dxa"/>
          </w:tcPr>
          <w:p w:rsidR="009C1BB8" w:rsidRDefault="00B64E6D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  <w:tc>
          <w:tcPr>
            <w:tcW w:w="1915" w:type="dxa"/>
          </w:tcPr>
          <w:p w:rsidR="009C1BB8" w:rsidRDefault="00B64E6D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1916" w:type="dxa"/>
          </w:tcPr>
          <w:p w:rsidR="009C1BB8" w:rsidRDefault="00B64E6D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7.541</w:t>
            </w:r>
          </w:p>
        </w:tc>
      </w:tr>
    </w:tbl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2E465F">
        <w:rPr>
          <w:rFonts w:ascii="Arial" w:hAnsi="Arial" w:cs="Arial"/>
          <w:sz w:val="20"/>
          <w:szCs w:val="20"/>
        </w:rPr>
        <w:t xml:space="preserve">Profit distribution plan: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>- Dividend payment of 16% of charter capital</w:t>
      </w:r>
      <w:r>
        <w:rPr>
          <w:rFonts w:ascii="Arial" w:hAnsi="Arial" w:cs="Arial"/>
          <w:sz w:val="20"/>
          <w:szCs w:val="20"/>
        </w:rPr>
        <w:t>: VND</w:t>
      </w:r>
      <w:r w:rsidRPr="002E465F">
        <w:rPr>
          <w:rFonts w:ascii="Arial" w:hAnsi="Arial" w:cs="Arial"/>
          <w:sz w:val="20"/>
          <w:szCs w:val="20"/>
        </w:rPr>
        <w:t xml:space="preserve"> 800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 xml:space="preserve">000  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>- Development investment fund</w:t>
      </w:r>
      <w:r>
        <w:rPr>
          <w:rFonts w:ascii="Arial" w:hAnsi="Arial" w:cs="Arial"/>
          <w:sz w:val="20"/>
          <w:szCs w:val="20"/>
        </w:rPr>
        <w:t>: VND</w:t>
      </w:r>
      <w:r w:rsidRPr="002E465F">
        <w:rPr>
          <w:rFonts w:ascii="Arial" w:hAnsi="Arial" w:cs="Arial"/>
          <w:sz w:val="20"/>
          <w:szCs w:val="20"/>
        </w:rPr>
        <w:t xml:space="preserve"> 70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 xml:space="preserve">000  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>- Executive Board bonus fund</w:t>
      </w:r>
      <w:r>
        <w:rPr>
          <w:rFonts w:ascii="Arial" w:hAnsi="Arial" w:cs="Arial"/>
          <w:sz w:val="20"/>
          <w:szCs w:val="20"/>
        </w:rPr>
        <w:t>: VND</w:t>
      </w:r>
      <w:r w:rsidRPr="002E465F">
        <w:rPr>
          <w:rFonts w:ascii="Arial" w:hAnsi="Arial" w:cs="Arial"/>
          <w:sz w:val="20"/>
          <w:szCs w:val="20"/>
        </w:rPr>
        <w:t xml:space="preserve"> 450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875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 xml:space="preserve">250  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>- Reward fund</w:t>
      </w:r>
      <w:r>
        <w:rPr>
          <w:rFonts w:ascii="Arial" w:hAnsi="Arial" w:cs="Arial"/>
          <w:sz w:val="20"/>
          <w:szCs w:val="20"/>
        </w:rPr>
        <w:t>: VND</w:t>
      </w:r>
      <w:r w:rsidRPr="002E465F">
        <w:rPr>
          <w:rFonts w:ascii="Arial" w:hAnsi="Arial" w:cs="Arial"/>
          <w:sz w:val="20"/>
          <w:szCs w:val="20"/>
        </w:rPr>
        <w:t xml:space="preserve"> 22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259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005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 xml:space="preserve">000 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>- Welfare fund</w:t>
      </w:r>
      <w:r>
        <w:rPr>
          <w:rFonts w:ascii="Arial" w:hAnsi="Arial" w:cs="Arial"/>
          <w:sz w:val="20"/>
          <w:szCs w:val="20"/>
        </w:rPr>
        <w:t>: VND</w:t>
      </w:r>
      <w:r w:rsidRPr="002E465F">
        <w:rPr>
          <w:rFonts w:ascii="Arial" w:hAnsi="Arial" w:cs="Arial"/>
          <w:sz w:val="20"/>
          <w:szCs w:val="20"/>
        </w:rPr>
        <w:t xml:space="preserve"> 22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259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005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 xml:space="preserve">000  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>- Retained profit</w:t>
      </w:r>
      <w:r>
        <w:rPr>
          <w:rFonts w:ascii="Arial" w:hAnsi="Arial" w:cs="Arial"/>
          <w:sz w:val="20"/>
          <w:szCs w:val="20"/>
        </w:rPr>
        <w:t>: VND</w:t>
      </w:r>
      <w:r w:rsidRPr="002E465F">
        <w:rPr>
          <w:rFonts w:ascii="Arial" w:hAnsi="Arial" w:cs="Arial"/>
          <w:sz w:val="20"/>
          <w:szCs w:val="20"/>
        </w:rPr>
        <w:t xml:space="preserve"> 273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973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558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 xml:space="preserve">197 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 </w:t>
      </w:r>
      <w:r w:rsidRPr="002E465F">
        <w:rPr>
          <w:rFonts w:ascii="Arial" w:hAnsi="Arial" w:cs="Arial"/>
          <w:sz w:val="20"/>
          <w:szCs w:val="20"/>
        </w:rPr>
        <w:t>The total salary and remuneration of mem</w:t>
      </w:r>
      <w:r>
        <w:rPr>
          <w:rFonts w:ascii="Arial" w:hAnsi="Arial" w:cs="Arial"/>
          <w:sz w:val="20"/>
          <w:szCs w:val="20"/>
        </w:rPr>
        <w:t>bers of the Board of Directors</w:t>
      </w:r>
      <w:r w:rsidRPr="002E465F">
        <w:rPr>
          <w:rFonts w:ascii="Arial" w:hAnsi="Arial" w:cs="Arial"/>
          <w:sz w:val="20"/>
          <w:szCs w:val="20"/>
        </w:rPr>
        <w:t>, Board of Supervisors in 2019 and the total estimated a</w:t>
      </w:r>
      <w:r>
        <w:rPr>
          <w:rFonts w:ascii="Arial" w:hAnsi="Arial" w:cs="Arial"/>
          <w:sz w:val="20"/>
          <w:szCs w:val="20"/>
        </w:rPr>
        <w:t>mount of remuneration in 2020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>a) The total salary and remuneration in 2019 for members of the Board of Directo</w:t>
      </w:r>
      <w:r>
        <w:rPr>
          <w:rFonts w:ascii="Arial" w:hAnsi="Arial" w:cs="Arial"/>
          <w:sz w:val="20"/>
          <w:szCs w:val="20"/>
        </w:rPr>
        <w:t xml:space="preserve">rs and the Supervisory Board: VND </w:t>
      </w:r>
      <w:r w:rsidRPr="002E465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718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686</w:t>
      </w:r>
      <w:r>
        <w:rPr>
          <w:rFonts w:ascii="Arial" w:hAnsi="Arial" w:cs="Arial"/>
          <w:sz w:val="20"/>
          <w:szCs w:val="20"/>
        </w:rPr>
        <w:t xml:space="preserve">,000, </w:t>
      </w:r>
      <w:r w:rsidRPr="002E465F">
        <w:rPr>
          <w:rFonts w:ascii="Arial" w:hAnsi="Arial" w:cs="Arial"/>
          <w:sz w:val="20"/>
          <w:szCs w:val="20"/>
        </w:rPr>
        <w:t xml:space="preserve">specifically as follows: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>- Chairman's salary: VND 631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584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 xml:space="preserve">000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 xml:space="preserve">- Remuneration for members of the </w:t>
      </w:r>
      <w:r>
        <w:rPr>
          <w:rFonts w:ascii="Arial" w:hAnsi="Arial" w:cs="Arial"/>
          <w:sz w:val="20"/>
          <w:szCs w:val="20"/>
        </w:rPr>
        <w:t>Board of Directors</w:t>
      </w:r>
      <w:r w:rsidRPr="002E465F">
        <w:rPr>
          <w:rFonts w:ascii="Arial" w:hAnsi="Arial" w:cs="Arial"/>
          <w:sz w:val="20"/>
          <w:szCs w:val="20"/>
        </w:rPr>
        <w:t>: VND 426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 xml:space="preserve">000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>- Full-time Head of the Supervisory Board: VND 541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102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 xml:space="preserve">000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 xml:space="preserve">- Remuneration </w:t>
      </w:r>
      <w:r>
        <w:rPr>
          <w:rFonts w:ascii="Arial" w:hAnsi="Arial" w:cs="Arial"/>
          <w:sz w:val="20"/>
          <w:szCs w:val="20"/>
        </w:rPr>
        <w:t xml:space="preserve">for </w:t>
      </w:r>
      <w:r w:rsidRPr="002E465F">
        <w:rPr>
          <w:rFonts w:ascii="Arial" w:hAnsi="Arial" w:cs="Arial"/>
          <w:sz w:val="20"/>
          <w:szCs w:val="20"/>
        </w:rPr>
        <w:t xml:space="preserve">Part-time </w:t>
      </w:r>
      <w:r>
        <w:rPr>
          <w:rFonts w:ascii="Arial" w:hAnsi="Arial" w:cs="Arial"/>
          <w:sz w:val="20"/>
          <w:szCs w:val="20"/>
        </w:rPr>
        <w:t xml:space="preserve">member of </w:t>
      </w:r>
      <w:r w:rsidRPr="002E465F">
        <w:rPr>
          <w:rFonts w:ascii="Arial" w:hAnsi="Arial" w:cs="Arial"/>
          <w:sz w:val="20"/>
          <w:szCs w:val="20"/>
        </w:rPr>
        <w:t>Supervisory Board: VND 120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 xml:space="preserve">000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Estimated </w:t>
      </w:r>
      <w:r w:rsidRPr="002E465F">
        <w:rPr>
          <w:rFonts w:ascii="Arial" w:hAnsi="Arial" w:cs="Arial"/>
          <w:sz w:val="20"/>
          <w:szCs w:val="20"/>
        </w:rPr>
        <w:t xml:space="preserve">salary and remuneration for members of the </w:t>
      </w:r>
      <w:r>
        <w:rPr>
          <w:rFonts w:ascii="Arial" w:hAnsi="Arial" w:cs="Arial"/>
          <w:sz w:val="20"/>
          <w:szCs w:val="20"/>
        </w:rPr>
        <w:t>Board of Directors</w:t>
      </w:r>
      <w:r w:rsidRPr="002E465F">
        <w:rPr>
          <w:rFonts w:ascii="Arial" w:hAnsi="Arial" w:cs="Arial"/>
          <w:sz w:val="20"/>
          <w:szCs w:val="20"/>
        </w:rPr>
        <w:t xml:space="preserve"> and the Supervisory Board in 2020: </w:t>
      </w:r>
    </w:p>
    <w:p w:rsidR="00B64E6D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 xml:space="preserve">The plan for the salary and remuneration fund for the Board of Directors </w:t>
      </w:r>
      <w:r>
        <w:rPr>
          <w:rFonts w:ascii="Arial" w:hAnsi="Arial" w:cs="Arial"/>
          <w:sz w:val="20"/>
          <w:szCs w:val="20"/>
        </w:rPr>
        <w:t>and Supervisory Board in 2020: VND</w:t>
      </w:r>
      <w:r w:rsidRPr="002E465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538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244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 xml:space="preserve">000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 xml:space="preserve">- Salary of the </w:t>
      </w:r>
      <w:r>
        <w:rPr>
          <w:rFonts w:ascii="Arial" w:hAnsi="Arial" w:cs="Arial"/>
          <w:sz w:val="20"/>
          <w:szCs w:val="20"/>
        </w:rPr>
        <w:t xml:space="preserve">standing </w:t>
      </w:r>
      <w:r w:rsidRPr="002E465F">
        <w:rPr>
          <w:rFonts w:ascii="Arial" w:hAnsi="Arial" w:cs="Arial"/>
          <w:sz w:val="20"/>
          <w:szCs w:val="20"/>
        </w:rPr>
        <w:t>Chairman of the Board: VND 531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239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 xml:space="preserve">000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>- Remuneration for part-time members of the BOD: VND 432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 xml:space="preserve">000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>- Salary Head of the Full-time Supervisory Board: VND 455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005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 xml:space="preserve">000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 xml:space="preserve">- Remuneration for part-time Supervisory Board members: </w:t>
      </w:r>
      <w:r>
        <w:rPr>
          <w:rFonts w:ascii="Arial" w:hAnsi="Arial" w:cs="Arial"/>
          <w:sz w:val="20"/>
          <w:szCs w:val="20"/>
        </w:rPr>
        <w:t xml:space="preserve">VND </w:t>
      </w:r>
      <w:r w:rsidRPr="002E465F">
        <w:rPr>
          <w:rFonts w:ascii="Arial" w:hAnsi="Arial" w:cs="Arial"/>
          <w:sz w:val="20"/>
          <w:szCs w:val="20"/>
        </w:rPr>
        <w:t>120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2E465F">
        <w:rPr>
          <w:rFonts w:ascii="Arial" w:hAnsi="Arial" w:cs="Arial"/>
          <w:sz w:val="20"/>
          <w:szCs w:val="20"/>
        </w:rPr>
        <w:t xml:space="preserve">000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lastRenderedPageBreak/>
        <w:t xml:space="preserve">6.  Dismissing, electing additional members of the Board of Directors for the term of 2017 - 2020: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65F">
        <w:rPr>
          <w:rFonts w:ascii="Arial" w:hAnsi="Arial" w:cs="Arial"/>
          <w:sz w:val="20"/>
          <w:szCs w:val="20"/>
        </w:rPr>
        <w:t xml:space="preserve">Agree to submit to the General Meeting of Shareholders: </w:t>
      </w:r>
    </w:p>
    <w:p w:rsidR="002E465F" w:rsidRDefault="002E46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Dismiss </w:t>
      </w:r>
      <w:r w:rsidRPr="002E465F">
        <w:rPr>
          <w:rFonts w:ascii="Arial" w:hAnsi="Arial" w:cs="Arial"/>
          <w:sz w:val="20"/>
          <w:szCs w:val="20"/>
        </w:rPr>
        <w:t xml:space="preserve">member of the Board of Directors of </w:t>
      </w:r>
      <w:proofErr w:type="spellStart"/>
      <w:r w:rsidRPr="002E465F">
        <w:rPr>
          <w:rFonts w:ascii="Arial" w:hAnsi="Arial" w:cs="Arial"/>
          <w:sz w:val="20"/>
          <w:szCs w:val="20"/>
        </w:rPr>
        <w:t>Hai</w:t>
      </w:r>
      <w:proofErr w:type="spellEnd"/>
      <w:r w:rsidRPr="002E46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465F">
        <w:rPr>
          <w:rFonts w:ascii="Arial" w:hAnsi="Arial" w:cs="Arial"/>
          <w:sz w:val="20"/>
          <w:szCs w:val="20"/>
        </w:rPr>
        <w:t>Phong</w:t>
      </w:r>
      <w:proofErr w:type="spellEnd"/>
      <w:r w:rsidRPr="002E465F">
        <w:rPr>
          <w:rFonts w:ascii="Arial" w:hAnsi="Arial" w:cs="Arial"/>
          <w:sz w:val="20"/>
          <w:szCs w:val="20"/>
        </w:rPr>
        <w:t xml:space="preserve"> Thermal Power Joint Stock Compan</w:t>
      </w:r>
      <w:r w:rsidR="006D3409">
        <w:rPr>
          <w:rFonts w:ascii="Arial" w:hAnsi="Arial" w:cs="Arial"/>
          <w:sz w:val="20"/>
          <w:szCs w:val="20"/>
        </w:rPr>
        <w:t>y for the term of 2017-2022 for</w:t>
      </w:r>
      <w:r w:rsidRPr="002E465F">
        <w:rPr>
          <w:rFonts w:ascii="Arial" w:hAnsi="Arial" w:cs="Arial"/>
          <w:sz w:val="20"/>
          <w:szCs w:val="20"/>
        </w:rPr>
        <w:t xml:space="preserve"> Mr. </w:t>
      </w:r>
      <w:r>
        <w:rPr>
          <w:rFonts w:ascii="Arial" w:hAnsi="Arial" w:cs="Arial"/>
          <w:sz w:val="20"/>
          <w:szCs w:val="20"/>
        </w:rPr>
        <w:t xml:space="preserve">Nguyen Van </w:t>
      </w:r>
      <w:proofErr w:type="spellStart"/>
      <w:r>
        <w:rPr>
          <w:rFonts w:ascii="Arial" w:hAnsi="Arial" w:cs="Arial"/>
          <w:sz w:val="20"/>
          <w:szCs w:val="20"/>
        </w:rPr>
        <w:t>Quyen</w:t>
      </w:r>
      <w:proofErr w:type="spellEnd"/>
    </w:p>
    <w:p w:rsidR="002E465F" w:rsidRDefault="006D340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Electing additional member</w:t>
      </w:r>
      <w:r w:rsidR="002E465F" w:rsidRPr="002E465F">
        <w:rPr>
          <w:rFonts w:ascii="Arial" w:hAnsi="Arial" w:cs="Arial"/>
          <w:sz w:val="20"/>
          <w:szCs w:val="20"/>
        </w:rPr>
        <w:t xml:space="preserve"> of the Board of Directors of </w:t>
      </w:r>
      <w:proofErr w:type="spellStart"/>
      <w:r w:rsidR="002E465F" w:rsidRPr="002E465F">
        <w:rPr>
          <w:rFonts w:ascii="Arial" w:hAnsi="Arial" w:cs="Arial"/>
          <w:sz w:val="20"/>
          <w:szCs w:val="20"/>
        </w:rPr>
        <w:t>Hai</w:t>
      </w:r>
      <w:proofErr w:type="spellEnd"/>
      <w:r w:rsidR="002E465F" w:rsidRPr="002E46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65F" w:rsidRPr="002E465F">
        <w:rPr>
          <w:rFonts w:ascii="Arial" w:hAnsi="Arial" w:cs="Arial"/>
          <w:sz w:val="20"/>
          <w:szCs w:val="20"/>
        </w:rPr>
        <w:t>Phong</w:t>
      </w:r>
      <w:proofErr w:type="spellEnd"/>
      <w:r w:rsidR="002E465F" w:rsidRPr="002E465F">
        <w:rPr>
          <w:rFonts w:ascii="Arial" w:hAnsi="Arial" w:cs="Arial"/>
          <w:sz w:val="20"/>
          <w:szCs w:val="20"/>
        </w:rPr>
        <w:t xml:space="preserve"> Thermal Power J</w:t>
      </w:r>
      <w:r w:rsidR="002E465F">
        <w:rPr>
          <w:rFonts w:ascii="Arial" w:hAnsi="Arial" w:cs="Arial"/>
          <w:sz w:val="20"/>
          <w:szCs w:val="20"/>
        </w:rPr>
        <w:t>oint Stock Company for tenure</w:t>
      </w:r>
      <w:r w:rsidR="002E465F" w:rsidRPr="002E4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="002E465F" w:rsidRPr="002E465F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7 - 2022 for Mr.</w:t>
      </w:r>
      <w:r w:rsidR="002E465F">
        <w:rPr>
          <w:rFonts w:ascii="Arial" w:hAnsi="Arial" w:cs="Arial"/>
          <w:sz w:val="20"/>
          <w:szCs w:val="20"/>
        </w:rPr>
        <w:t xml:space="preserve"> Mr. Le Van </w:t>
      </w:r>
      <w:proofErr w:type="spellStart"/>
      <w:r w:rsidR="002E465F">
        <w:rPr>
          <w:rFonts w:ascii="Arial" w:hAnsi="Arial" w:cs="Arial"/>
          <w:sz w:val="20"/>
          <w:szCs w:val="20"/>
        </w:rPr>
        <w:t>Chinh</w:t>
      </w:r>
      <w:proofErr w:type="spellEnd"/>
    </w:p>
    <w:p w:rsidR="006D3409" w:rsidRDefault="006D340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2E465F" w:rsidRPr="002E465F">
        <w:rPr>
          <w:rFonts w:ascii="Arial" w:hAnsi="Arial" w:cs="Arial"/>
          <w:sz w:val="20"/>
          <w:szCs w:val="20"/>
        </w:rPr>
        <w:t xml:space="preserve">Selection of an </w:t>
      </w:r>
      <w:r>
        <w:rPr>
          <w:rFonts w:ascii="Arial" w:hAnsi="Arial" w:cs="Arial"/>
          <w:sz w:val="20"/>
          <w:szCs w:val="20"/>
        </w:rPr>
        <w:t xml:space="preserve">auditing Company for 2020 </w:t>
      </w:r>
    </w:p>
    <w:p w:rsidR="006D3409" w:rsidRDefault="006D340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 to submit</w:t>
      </w:r>
      <w:r w:rsidR="002E465F" w:rsidRPr="002E465F">
        <w:rPr>
          <w:rFonts w:ascii="Arial" w:hAnsi="Arial" w:cs="Arial"/>
          <w:sz w:val="20"/>
          <w:szCs w:val="20"/>
        </w:rPr>
        <w:t xml:space="preserve"> the General Meeting of Shareholders to authorize th</w:t>
      </w:r>
      <w:r>
        <w:rPr>
          <w:rFonts w:ascii="Arial" w:hAnsi="Arial" w:cs="Arial"/>
          <w:sz w:val="20"/>
          <w:szCs w:val="20"/>
        </w:rPr>
        <w:t xml:space="preserve">e Board of Directors to decide </w:t>
      </w:r>
      <w:r w:rsidR="002E465F" w:rsidRPr="002E465F">
        <w:rPr>
          <w:rFonts w:ascii="Arial" w:hAnsi="Arial" w:cs="Arial"/>
          <w:sz w:val="20"/>
          <w:szCs w:val="20"/>
        </w:rPr>
        <w:t>the selection of</w:t>
      </w:r>
      <w:r>
        <w:rPr>
          <w:rFonts w:ascii="Arial" w:hAnsi="Arial" w:cs="Arial"/>
          <w:sz w:val="20"/>
          <w:szCs w:val="20"/>
        </w:rPr>
        <w:t xml:space="preserve"> an audit</w:t>
      </w:r>
      <w:r w:rsidR="002E465F" w:rsidRPr="002E465F">
        <w:rPr>
          <w:rFonts w:ascii="Arial" w:hAnsi="Arial" w:cs="Arial"/>
          <w:sz w:val="20"/>
          <w:szCs w:val="20"/>
        </w:rPr>
        <w:t xml:space="preserve"> unit to audit the financial statements of 2020 as pr</w:t>
      </w:r>
      <w:r>
        <w:rPr>
          <w:rFonts w:ascii="Arial" w:hAnsi="Arial" w:cs="Arial"/>
          <w:sz w:val="20"/>
          <w:szCs w:val="20"/>
        </w:rPr>
        <w:t>oposed by the Supervisory Board</w:t>
      </w:r>
    </w:p>
    <w:p w:rsidR="002E465F" w:rsidRDefault="006D340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2E465F" w:rsidRPr="002E465F">
        <w:rPr>
          <w:rFonts w:ascii="Arial" w:hAnsi="Arial" w:cs="Arial"/>
          <w:sz w:val="20"/>
          <w:szCs w:val="20"/>
        </w:rPr>
        <w:t>Members of the Board of Directors, General Director of the Company are responsible for implementing this Resolution</w:t>
      </w:r>
    </w:p>
    <w:p w:rsidR="009C1BB8" w:rsidRDefault="009C1B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C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465F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5F5C96"/>
    <w:rsid w:val="006000D8"/>
    <w:rsid w:val="0063035E"/>
    <w:rsid w:val="006374A1"/>
    <w:rsid w:val="00695ACD"/>
    <w:rsid w:val="006B04E8"/>
    <w:rsid w:val="006B36E8"/>
    <w:rsid w:val="006D3409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1BB8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64E6D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146</cp:revision>
  <dcterms:created xsi:type="dcterms:W3CDTF">2019-10-16T10:03:00Z</dcterms:created>
  <dcterms:modified xsi:type="dcterms:W3CDTF">2020-04-20T09:33:00Z</dcterms:modified>
</cp:coreProperties>
</file>